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1FBBE47F" w:rsidR="003C4333" w:rsidRPr="001E2CE1" w:rsidRDefault="00751282" w:rsidP="00AE4244">
      <w:pPr>
        <w:pStyle w:val="Nadpis1"/>
        <w:spacing w:before="0"/>
        <w:contextualSpacing/>
        <w:jc w:val="center"/>
        <w:rPr>
          <w:rFonts w:asciiTheme="minorHAnsi" w:eastAsia="+mj-ea" w:hAnsiTheme="minorHAnsi" w:cstheme="minorHAnsi"/>
          <w:b/>
          <w:color w:val="auto"/>
          <w:sz w:val="22"/>
          <w:szCs w:val="22"/>
        </w:rPr>
      </w:pPr>
      <w:r w:rsidRPr="001E2CE1">
        <w:rPr>
          <w:rFonts w:asciiTheme="minorHAnsi" w:eastAsia="+mj-ea" w:hAnsiTheme="minorHAnsi" w:cstheme="minorHAnsi"/>
          <w:b/>
          <w:color w:val="auto"/>
          <w:sz w:val="22"/>
          <w:szCs w:val="22"/>
        </w:rPr>
        <w:t>Riadenie vzťahov so zákazníkmi</w:t>
      </w:r>
    </w:p>
    <w:p w14:paraId="013E1F6E" w14:textId="77777777" w:rsidR="003C4333" w:rsidRPr="001E2CE1" w:rsidRDefault="003C4333" w:rsidP="003C4333">
      <w:pPr>
        <w:rPr>
          <w:rFonts w:cstheme="minorHAnsi"/>
          <w:lang w:eastAsia="en-GB"/>
        </w:rPr>
      </w:pPr>
    </w:p>
    <w:p w14:paraId="4D1BFAA9" w14:textId="77777777" w:rsidR="00101FF5" w:rsidRPr="001E2CE1" w:rsidRDefault="00101FF5" w:rsidP="00101FF5">
      <w:pPr>
        <w:spacing w:after="0" w:line="240" w:lineRule="auto"/>
        <w:contextualSpacing/>
        <w:jc w:val="both"/>
        <w:rPr>
          <w:rFonts w:cstheme="minorHAnsi"/>
          <w:b/>
          <w:u w:val="single"/>
        </w:rPr>
      </w:pPr>
      <w:r w:rsidRPr="001E2CE1">
        <w:rPr>
          <w:rFonts w:cstheme="minorHAnsi"/>
          <w:b/>
          <w:bCs/>
          <w:u w:val="single"/>
        </w:rPr>
        <w:t>Účel</w:t>
      </w:r>
      <w:r w:rsidRPr="001E2CE1">
        <w:rPr>
          <w:rFonts w:cstheme="minorHAnsi"/>
          <w:b/>
          <w:u w:val="single"/>
        </w:rPr>
        <w:t xml:space="preserve"> spracúvania osobných údajov, na ktorý sú osobné údaje určené:</w:t>
      </w:r>
    </w:p>
    <w:p w14:paraId="456C0F7E" w14:textId="2FFC5245" w:rsidR="00101FF5" w:rsidRPr="001E2CE1" w:rsidRDefault="00101FF5" w:rsidP="00AE4244">
      <w:pPr>
        <w:pStyle w:val="Odsekzoznamu"/>
        <w:numPr>
          <w:ilvl w:val="0"/>
          <w:numId w:val="14"/>
        </w:numPr>
        <w:spacing w:after="0" w:line="240" w:lineRule="auto"/>
        <w:jc w:val="both"/>
        <w:rPr>
          <w:rFonts w:cstheme="minorHAnsi"/>
          <w:b/>
          <w:u w:val="single"/>
        </w:rPr>
      </w:pPr>
      <w:r w:rsidRPr="001E2CE1">
        <w:rPr>
          <w:rFonts w:cstheme="minorHAnsi"/>
        </w:rPr>
        <w:t xml:space="preserve">Spracúvanie osobných údajov zákazníkov </w:t>
      </w:r>
      <w:r w:rsidR="006F7142">
        <w:rPr>
          <w:rFonts w:cstheme="minorHAnsi"/>
        </w:rPr>
        <w:t>P</w:t>
      </w:r>
      <w:r w:rsidRPr="001E2CE1">
        <w:rPr>
          <w:rFonts w:cstheme="minorHAnsi"/>
        </w:rPr>
        <w:t>revádzkovateľa za účelom vedenia agendy zákazníkov na obchodné účely, konkrétne na účely evidencie a spracovania obchodných prípadov a súvisiacich informácií.</w:t>
      </w:r>
    </w:p>
    <w:p w14:paraId="5D9B3667" w14:textId="25AE9085" w:rsidR="00101FF5" w:rsidRPr="001E2CE1" w:rsidRDefault="00101FF5" w:rsidP="00AE4244">
      <w:pPr>
        <w:pStyle w:val="Normlnywebov"/>
        <w:numPr>
          <w:ilvl w:val="0"/>
          <w:numId w:val="14"/>
        </w:numPr>
        <w:contextualSpacing/>
        <w:jc w:val="both"/>
        <w:rPr>
          <w:rFonts w:asciiTheme="minorHAnsi" w:hAnsiTheme="minorHAnsi" w:cstheme="minorHAnsi"/>
          <w:sz w:val="22"/>
          <w:szCs w:val="22"/>
        </w:rPr>
      </w:pPr>
      <w:r w:rsidRPr="001E2CE1">
        <w:rPr>
          <w:rFonts w:asciiTheme="minorHAnsi" w:hAnsiTheme="minorHAnsi" w:cstheme="minorHAnsi"/>
          <w:sz w:val="22"/>
          <w:szCs w:val="22"/>
        </w:rPr>
        <w:t>Evidencia  kontaktných údajov zákazníkov,  ich kontaktných osôb</w:t>
      </w:r>
      <w:r w:rsidR="006F7142">
        <w:rPr>
          <w:rFonts w:asciiTheme="minorHAnsi" w:hAnsiTheme="minorHAnsi" w:cstheme="minorHAnsi"/>
          <w:sz w:val="22"/>
          <w:szCs w:val="22"/>
        </w:rPr>
        <w:t>, resp. zástupco</w:t>
      </w:r>
      <w:r w:rsidRPr="001E2CE1">
        <w:rPr>
          <w:rFonts w:asciiTheme="minorHAnsi" w:hAnsiTheme="minorHAnsi" w:cstheme="minorHAnsi"/>
          <w:sz w:val="22"/>
          <w:szCs w:val="22"/>
        </w:rPr>
        <w:t xml:space="preserve">v </w:t>
      </w:r>
      <w:r w:rsidR="006F7142">
        <w:rPr>
          <w:rFonts w:asciiTheme="minorHAnsi" w:hAnsiTheme="minorHAnsi" w:cstheme="minorHAnsi"/>
          <w:sz w:val="22"/>
          <w:szCs w:val="22"/>
        </w:rPr>
        <w:t xml:space="preserve">v </w:t>
      </w:r>
      <w:r w:rsidRPr="001E2CE1">
        <w:rPr>
          <w:rFonts w:asciiTheme="minorHAnsi" w:hAnsiTheme="minorHAnsi" w:cstheme="minorHAnsi"/>
          <w:sz w:val="22"/>
          <w:szCs w:val="22"/>
        </w:rPr>
        <w:t xml:space="preserve">systéme  </w:t>
      </w:r>
      <w:r w:rsidR="006F7142">
        <w:rPr>
          <w:rFonts w:asciiTheme="minorHAnsi" w:hAnsiTheme="minorHAnsi" w:cstheme="minorHAnsi"/>
          <w:sz w:val="22"/>
          <w:szCs w:val="22"/>
        </w:rPr>
        <w:t>P</w:t>
      </w:r>
      <w:r w:rsidRPr="001E2CE1">
        <w:rPr>
          <w:rFonts w:asciiTheme="minorHAnsi" w:hAnsiTheme="minorHAnsi" w:cstheme="minorHAnsi"/>
          <w:sz w:val="22"/>
          <w:szCs w:val="22"/>
        </w:rPr>
        <w:t xml:space="preserve">revádzkovateľa a ich kontaktovanie. </w:t>
      </w:r>
    </w:p>
    <w:p w14:paraId="26830142" w14:textId="77777777" w:rsidR="00101FF5" w:rsidRPr="001E2CE1" w:rsidRDefault="00101FF5" w:rsidP="00AE4244">
      <w:pPr>
        <w:spacing w:after="0" w:line="240" w:lineRule="auto"/>
        <w:contextualSpacing/>
        <w:jc w:val="both"/>
        <w:rPr>
          <w:rFonts w:cstheme="minorHAnsi"/>
          <w:bCs/>
          <w:color w:val="000000" w:themeColor="text1"/>
        </w:rPr>
      </w:pPr>
      <w:r w:rsidRPr="001E2CE1">
        <w:rPr>
          <w:rFonts w:cstheme="minorHAnsi"/>
          <w:b/>
          <w:color w:val="000000" w:themeColor="text1"/>
          <w:u w:val="single"/>
        </w:rPr>
        <w:t>Okruh dotknutých osôb</w:t>
      </w:r>
      <w:r w:rsidRPr="001E2CE1">
        <w:rPr>
          <w:rFonts w:cstheme="minorHAnsi"/>
          <w:b/>
          <w:color w:val="000000" w:themeColor="text1"/>
        </w:rPr>
        <w:t>:</w:t>
      </w:r>
      <w:r w:rsidRPr="001E2CE1">
        <w:rPr>
          <w:rFonts w:cstheme="minorHAnsi"/>
          <w:bCs/>
          <w:color w:val="000000" w:themeColor="text1"/>
        </w:rPr>
        <w:t xml:space="preserve"> </w:t>
      </w:r>
    </w:p>
    <w:p w14:paraId="261F395C" w14:textId="77777777" w:rsidR="00D151CB" w:rsidRPr="001E2CE1" w:rsidRDefault="00D151CB" w:rsidP="00D151CB">
      <w:pPr>
        <w:pStyle w:val="Odsekzoznamu"/>
        <w:numPr>
          <w:ilvl w:val="0"/>
          <w:numId w:val="36"/>
        </w:numPr>
        <w:suppressAutoHyphens/>
        <w:autoSpaceDN w:val="0"/>
        <w:ind w:right="-284"/>
        <w:jc w:val="both"/>
        <w:textAlignment w:val="baseline"/>
        <w:rPr>
          <w:rFonts w:cstheme="minorHAnsi"/>
          <w:bCs/>
          <w:color w:val="000000" w:themeColor="text1"/>
        </w:rPr>
      </w:pPr>
      <w:r w:rsidRPr="001E2CE1">
        <w:rPr>
          <w:rFonts w:cstheme="minorHAnsi"/>
          <w:bCs/>
          <w:color w:val="000000" w:themeColor="text1"/>
        </w:rPr>
        <w:t>fyzické osoby nepodnikatelia (FO) a ich kontaktné osoby, resp. zástupcovia,</w:t>
      </w:r>
    </w:p>
    <w:p w14:paraId="16E8587D" w14:textId="77777777" w:rsidR="00D151CB" w:rsidRPr="001E2CE1" w:rsidRDefault="00D151CB" w:rsidP="00D151CB">
      <w:pPr>
        <w:pStyle w:val="Odsekzoznamu"/>
        <w:numPr>
          <w:ilvl w:val="0"/>
          <w:numId w:val="36"/>
        </w:numPr>
        <w:suppressAutoHyphens/>
        <w:autoSpaceDN w:val="0"/>
        <w:ind w:right="-284"/>
        <w:jc w:val="both"/>
        <w:textAlignment w:val="baseline"/>
        <w:rPr>
          <w:rFonts w:cstheme="minorHAnsi"/>
          <w:b/>
          <w:color w:val="000000" w:themeColor="text1"/>
        </w:rPr>
      </w:pPr>
      <w:r w:rsidRPr="001E2CE1">
        <w:rPr>
          <w:rFonts w:cstheme="minorHAnsi"/>
          <w:bCs/>
          <w:color w:val="000000" w:themeColor="text1"/>
        </w:rPr>
        <w:t>právnické osoby (PO) a ich kontaktné osoby, resp. zástupcovia,</w:t>
      </w:r>
    </w:p>
    <w:p w14:paraId="6A97739F" w14:textId="77777777" w:rsidR="00D151CB" w:rsidRPr="001E2CE1" w:rsidRDefault="00D151CB" w:rsidP="00D151CB">
      <w:pPr>
        <w:pStyle w:val="Odsekzoznamu"/>
        <w:numPr>
          <w:ilvl w:val="0"/>
          <w:numId w:val="36"/>
        </w:numPr>
        <w:suppressAutoHyphens/>
        <w:autoSpaceDN w:val="0"/>
        <w:ind w:right="-284"/>
        <w:jc w:val="both"/>
        <w:textAlignment w:val="baseline"/>
        <w:rPr>
          <w:rFonts w:cstheme="minorHAnsi"/>
          <w:b/>
          <w:color w:val="000000" w:themeColor="text1"/>
        </w:rPr>
      </w:pPr>
      <w:r w:rsidRPr="001E2CE1">
        <w:rPr>
          <w:rFonts w:cstheme="minorHAnsi"/>
          <w:bCs/>
          <w:color w:val="000000" w:themeColor="text1"/>
        </w:rPr>
        <w:t>samostatne zárobkovo činné osoby (SZČO) a ich kontaktné osoby, resp. zástupcovia.</w:t>
      </w:r>
    </w:p>
    <w:p w14:paraId="073E0641" w14:textId="77777777" w:rsidR="00101FF5" w:rsidRPr="001E2CE1" w:rsidRDefault="00101FF5" w:rsidP="00AE4244">
      <w:pPr>
        <w:pStyle w:val="Predvolen"/>
        <w:spacing w:before="0" w:after="240" w:line="240" w:lineRule="auto"/>
        <w:contextualSpacing/>
        <w:jc w:val="both"/>
        <w:rPr>
          <w:rFonts w:asciiTheme="minorHAnsi" w:hAnsiTheme="minorHAnsi" w:cstheme="minorHAnsi"/>
          <w:b/>
          <w:bCs/>
          <w:sz w:val="22"/>
          <w:szCs w:val="22"/>
        </w:rPr>
      </w:pPr>
      <w:r w:rsidRPr="001E2CE1">
        <w:rPr>
          <w:rFonts w:asciiTheme="minorHAnsi" w:hAnsiTheme="minorHAnsi" w:cstheme="minorHAnsi"/>
          <w:b/>
          <w:bCs/>
          <w:sz w:val="22"/>
          <w:szCs w:val="22"/>
          <w:u w:val="single"/>
        </w:rPr>
        <w:t>Kategória osobných údajov</w:t>
      </w:r>
      <w:r w:rsidRPr="001E2CE1">
        <w:rPr>
          <w:rFonts w:asciiTheme="minorHAnsi" w:hAnsiTheme="minorHAnsi" w:cstheme="minorHAnsi"/>
          <w:b/>
          <w:bCs/>
          <w:sz w:val="22"/>
          <w:szCs w:val="22"/>
        </w:rPr>
        <w:t>:</w:t>
      </w:r>
    </w:p>
    <w:p w14:paraId="7182969F" w14:textId="77777777" w:rsidR="00101FF5" w:rsidRPr="001E2CE1" w:rsidRDefault="00101FF5" w:rsidP="00AE4244">
      <w:pPr>
        <w:pStyle w:val="Predvolen"/>
        <w:numPr>
          <w:ilvl w:val="0"/>
          <w:numId w:val="37"/>
        </w:numPr>
        <w:spacing w:before="0" w:after="240" w:line="240" w:lineRule="auto"/>
        <w:contextualSpacing/>
        <w:jc w:val="both"/>
        <w:rPr>
          <w:rFonts w:asciiTheme="minorHAnsi" w:hAnsiTheme="minorHAnsi" w:cstheme="minorHAnsi"/>
          <w:sz w:val="22"/>
          <w:szCs w:val="22"/>
        </w:rPr>
      </w:pPr>
      <w:r w:rsidRPr="001E2CE1">
        <w:rPr>
          <w:rFonts w:asciiTheme="minorHAnsi" w:hAnsiTheme="minorHAnsi" w:cstheme="minorHAnsi"/>
          <w:sz w:val="22"/>
          <w:szCs w:val="22"/>
        </w:rPr>
        <w:t xml:space="preserve">bežné osobné údaje </w:t>
      </w:r>
    </w:p>
    <w:p w14:paraId="39D935A4" w14:textId="77777777" w:rsidR="00101FF5" w:rsidRPr="001E2CE1" w:rsidRDefault="00101FF5" w:rsidP="00AE4244">
      <w:pPr>
        <w:spacing w:before="240" w:after="0" w:line="240" w:lineRule="auto"/>
        <w:contextualSpacing/>
        <w:jc w:val="both"/>
        <w:rPr>
          <w:rFonts w:cstheme="minorHAnsi"/>
          <w:b/>
          <w:color w:val="000000" w:themeColor="text1"/>
        </w:rPr>
      </w:pPr>
      <w:r w:rsidRPr="001E2CE1">
        <w:rPr>
          <w:rFonts w:cstheme="minorHAnsi"/>
          <w:b/>
          <w:color w:val="000000" w:themeColor="text1"/>
          <w:u w:val="single"/>
        </w:rPr>
        <w:t>Zoznam alebo rozsah osobných údajov</w:t>
      </w:r>
      <w:r w:rsidRPr="001E2CE1">
        <w:rPr>
          <w:rFonts w:cstheme="minorHAnsi"/>
          <w:b/>
          <w:color w:val="000000" w:themeColor="text1"/>
        </w:rPr>
        <w:t xml:space="preserve">: </w:t>
      </w:r>
    </w:p>
    <w:p w14:paraId="7A18E3D8" w14:textId="77777777" w:rsidR="00D151CB" w:rsidRPr="001E2CE1" w:rsidRDefault="00D151CB" w:rsidP="00D537AB">
      <w:pPr>
        <w:pStyle w:val="Odsekzoznamu"/>
        <w:numPr>
          <w:ilvl w:val="0"/>
          <w:numId w:val="37"/>
        </w:numPr>
        <w:jc w:val="both"/>
        <w:rPr>
          <w:rFonts w:cstheme="minorHAnsi"/>
          <w:b/>
          <w:bCs/>
        </w:rPr>
      </w:pPr>
      <w:r w:rsidRPr="001E2CE1">
        <w:rPr>
          <w:rFonts w:cstheme="minorHAnsi"/>
        </w:rPr>
        <w:t>bežné osobné údaje fyzických osôb (FO) napr. identifikačné údaje, titul, meno, priezvisko</w:t>
      </w:r>
      <w:r w:rsidRPr="001E2CE1">
        <w:rPr>
          <w:rFonts w:cstheme="minorHAnsi"/>
          <w:color w:val="0070C0"/>
        </w:rPr>
        <w:t>,</w:t>
      </w:r>
      <w:r w:rsidRPr="001E2CE1">
        <w:rPr>
          <w:rFonts w:cstheme="minorHAnsi"/>
          <w:color w:val="000000" w:themeColor="text1"/>
        </w:rPr>
        <w:t xml:space="preserve"> kontaktná adresa,  telefónne číslo, e-mail, </w:t>
      </w:r>
      <w:r w:rsidRPr="001E2CE1">
        <w:rPr>
          <w:rFonts w:cstheme="minorHAnsi"/>
        </w:rPr>
        <w:t>identifikačné údaje, titul, meno, priezvisko</w:t>
      </w:r>
      <w:r w:rsidRPr="001E2CE1">
        <w:rPr>
          <w:rFonts w:cstheme="minorHAnsi"/>
          <w:color w:val="0070C0"/>
        </w:rPr>
        <w:t>,</w:t>
      </w:r>
      <w:r w:rsidRPr="001E2CE1">
        <w:rPr>
          <w:rFonts w:cstheme="minorHAnsi"/>
          <w:color w:val="000000" w:themeColor="text1"/>
        </w:rPr>
        <w:t xml:space="preserve"> kontaktná adresa,  telefónne číslo, e-mail,</w:t>
      </w:r>
    </w:p>
    <w:p w14:paraId="27E9D992" w14:textId="77777777" w:rsidR="00D151CB" w:rsidRPr="001E2CE1" w:rsidRDefault="00D151CB" w:rsidP="00D151CB">
      <w:pPr>
        <w:pStyle w:val="Odsekzoznamu"/>
        <w:numPr>
          <w:ilvl w:val="0"/>
          <w:numId w:val="37"/>
        </w:numPr>
        <w:spacing w:after="0" w:line="240" w:lineRule="auto"/>
        <w:jc w:val="both"/>
        <w:rPr>
          <w:rFonts w:cstheme="minorHAnsi"/>
          <w:b/>
          <w:bCs/>
          <w:u w:val="single"/>
        </w:rPr>
      </w:pPr>
      <w:r w:rsidRPr="001E2CE1">
        <w:rPr>
          <w:rFonts w:cstheme="minorHAnsi"/>
        </w:rPr>
        <w:t>obchodné meno, sídlo, IČO, IČ DPH, bankové spojenie, údaje o kontaktnej osobe v rozsahu mena, priezviska a tel. č. alebo e-mailu a iné relevantné údaje)bežné osobné údaje (obchodné meno,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6D3BB683" w14:textId="77777777" w:rsidR="00101FF5" w:rsidRPr="001E2CE1" w:rsidRDefault="00101FF5" w:rsidP="00AE4244">
      <w:pPr>
        <w:pStyle w:val="Odsekzoznamu"/>
        <w:spacing w:after="0" w:line="240" w:lineRule="auto"/>
        <w:ind w:left="360"/>
        <w:jc w:val="both"/>
        <w:rPr>
          <w:rFonts w:cstheme="minorHAnsi"/>
          <w:b/>
          <w:bCs/>
          <w:u w:val="single"/>
        </w:rPr>
      </w:pPr>
    </w:p>
    <w:p w14:paraId="26D5AB1D" w14:textId="77777777" w:rsidR="00101FF5" w:rsidRPr="001E2CE1" w:rsidRDefault="00101FF5" w:rsidP="00AE4244">
      <w:pPr>
        <w:spacing w:after="0"/>
        <w:jc w:val="both"/>
        <w:rPr>
          <w:rFonts w:cstheme="minorHAnsi"/>
          <w:b/>
          <w:bCs/>
          <w:u w:val="single"/>
        </w:rPr>
      </w:pPr>
      <w:r w:rsidRPr="001E2CE1">
        <w:rPr>
          <w:rFonts w:cstheme="minorHAnsi"/>
          <w:b/>
          <w:bCs/>
          <w:u w:val="single"/>
        </w:rPr>
        <w:t>Zákonnosť spracúvania osobných údajov:</w:t>
      </w:r>
    </w:p>
    <w:p w14:paraId="6E12442F" w14:textId="77777777" w:rsidR="00101FF5" w:rsidRPr="001E2CE1" w:rsidRDefault="00101FF5" w:rsidP="00AE4244">
      <w:pPr>
        <w:spacing w:line="240" w:lineRule="auto"/>
        <w:contextualSpacing/>
        <w:jc w:val="both"/>
        <w:rPr>
          <w:rFonts w:cstheme="minorHAnsi"/>
          <w:b/>
          <w:bCs/>
        </w:rPr>
      </w:pPr>
      <w:bookmarkStart w:id="0" w:name="_Hlk165492753"/>
      <w:r w:rsidRPr="001E2CE1">
        <w:rPr>
          <w:rFonts w:cstheme="minorHAnsi"/>
          <w:u w:val="single"/>
        </w:rPr>
        <w:t>v rámci účelov v bodoch a) – b):</w:t>
      </w:r>
      <w:r w:rsidRPr="001E2CE1">
        <w:rPr>
          <w:rFonts w:cstheme="minorHAnsi"/>
          <w:b/>
          <w:bCs/>
        </w:rPr>
        <w:t xml:space="preserve"> </w:t>
      </w:r>
    </w:p>
    <w:p w14:paraId="0E8184A5" w14:textId="53BD1EAE" w:rsidR="00101FF5" w:rsidRPr="00076699" w:rsidRDefault="00101FF5" w:rsidP="00AE4244">
      <w:pPr>
        <w:spacing w:line="240" w:lineRule="auto"/>
        <w:contextualSpacing/>
        <w:jc w:val="both"/>
        <w:rPr>
          <w:rFonts w:cstheme="minorHAnsi"/>
        </w:rPr>
      </w:pPr>
      <w:r w:rsidRPr="001E2CE1">
        <w:rPr>
          <w:rFonts w:cstheme="minorHAnsi"/>
        </w:rPr>
        <w:t xml:space="preserve">čl. 6 ods. 1 písm. f) všeobecného nariadenia o ochrane údajov </w:t>
      </w:r>
      <w:r w:rsidR="000D0695" w:rsidRPr="001E2CE1">
        <w:rPr>
          <w:rFonts w:cstheme="minorHAnsi"/>
        </w:rPr>
        <w:t xml:space="preserve">– </w:t>
      </w:r>
      <w:r w:rsidRPr="001E2CE1">
        <w:rPr>
          <w:rFonts w:cstheme="minorHAnsi"/>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bookmarkEnd w:id="0"/>
    </w:p>
    <w:p w14:paraId="19CA6E88" w14:textId="034F1BD8" w:rsidR="00101FF5" w:rsidRPr="001E2CE1" w:rsidRDefault="00101FF5" w:rsidP="00AE4244">
      <w:pPr>
        <w:pStyle w:val="Predvolen"/>
        <w:spacing w:before="0" w:line="240" w:lineRule="auto"/>
        <w:contextualSpacing/>
        <w:jc w:val="both"/>
        <w:rPr>
          <w:rFonts w:asciiTheme="minorHAnsi" w:hAnsiTheme="minorHAnsi" w:cstheme="minorHAnsi"/>
          <w:b/>
          <w:bCs/>
          <w:sz w:val="22"/>
          <w:szCs w:val="22"/>
          <w:u w:val="single"/>
        </w:rPr>
      </w:pPr>
      <w:r w:rsidRPr="001E2CE1">
        <w:rPr>
          <w:rFonts w:asciiTheme="minorHAnsi" w:hAnsiTheme="minorHAnsi" w:cstheme="minorHAnsi"/>
          <w:b/>
          <w:bCs/>
          <w:sz w:val="22"/>
          <w:szCs w:val="22"/>
          <w:u w:val="single"/>
        </w:rPr>
        <w:t>Zákonná povinnosť spracúvania osobných údajov:</w:t>
      </w:r>
      <w:r w:rsidRPr="001E2CE1">
        <w:rPr>
          <w:rFonts w:asciiTheme="minorHAnsi" w:hAnsiTheme="minorHAnsi" w:cstheme="minorHAnsi"/>
          <w:sz w:val="22"/>
          <w:szCs w:val="22"/>
        </w:rPr>
        <w:t xml:space="preserve"> spracúvanie osobných údajov na základe osobitého právneho predpisu sa nevykonáva</w:t>
      </w:r>
      <w:r w:rsidR="00CA1212">
        <w:rPr>
          <w:rFonts w:asciiTheme="minorHAnsi" w:hAnsiTheme="minorHAnsi" w:cstheme="minorHAnsi"/>
          <w:sz w:val="22"/>
          <w:szCs w:val="22"/>
        </w:rPr>
        <w:t>.</w:t>
      </w:r>
    </w:p>
    <w:p w14:paraId="05FF20EA" w14:textId="77777777" w:rsidR="00101FF5" w:rsidRPr="001E2CE1" w:rsidRDefault="00101FF5" w:rsidP="00AE4244">
      <w:pPr>
        <w:pStyle w:val="Predvolen"/>
        <w:spacing w:before="0" w:line="240" w:lineRule="auto"/>
        <w:contextualSpacing/>
        <w:jc w:val="both"/>
        <w:rPr>
          <w:rFonts w:asciiTheme="minorHAnsi" w:hAnsiTheme="minorHAnsi" w:cstheme="minorHAnsi"/>
          <w:bCs/>
          <w:sz w:val="22"/>
          <w:szCs w:val="22"/>
          <w:u w:val="single"/>
        </w:rPr>
      </w:pPr>
    </w:p>
    <w:p w14:paraId="279E6BC1" w14:textId="77777777" w:rsidR="00101FF5" w:rsidRPr="001E2CE1" w:rsidRDefault="00101FF5" w:rsidP="00AE4244">
      <w:pPr>
        <w:suppressAutoHyphens/>
        <w:spacing w:after="0" w:line="240" w:lineRule="auto"/>
        <w:jc w:val="both"/>
        <w:rPr>
          <w:rFonts w:eastAsia="Times New Roman" w:cstheme="minorHAnsi"/>
          <w:b/>
          <w:u w:val="single"/>
          <w:lang w:eastAsia="zh-CN"/>
        </w:rPr>
      </w:pPr>
      <w:bookmarkStart w:id="1" w:name="_Hlk165500150"/>
      <w:r w:rsidRPr="001E2CE1">
        <w:rPr>
          <w:rFonts w:eastAsia="Times New Roman" w:cstheme="minorHAnsi"/>
          <w:b/>
          <w:u w:val="single"/>
          <w:lang w:eastAsia="zh-CN"/>
        </w:rPr>
        <w:t xml:space="preserve">Identifikácia  </w:t>
      </w:r>
      <w:r w:rsidRPr="001E2CE1">
        <w:rPr>
          <w:rFonts w:eastAsia="Times New Roman" w:cstheme="minorHAnsi"/>
          <w:b/>
          <w:bCs/>
          <w:u w:val="single"/>
          <w:lang w:eastAsia="zh-CN"/>
        </w:rPr>
        <w:t>príjemcu</w:t>
      </w:r>
      <w:r w:rsidRPr="001E2CE1">
        <w:rPr>
          <w:rFonts w:eastAsia="Times New Roman" w:cstheme="minorHAnsi"/>
          <w:b/>
          <w:u w:val="single"/>
          <w:lang w:eastAsia="zh-CN"/>
        </w:rPr>
        <w:t xml:space="preserve">  alebo  kategórie príjemcu: </w:t>
      </w:r>
    </w:p>
    <w:p w14:paraId="139B0A50" w14:textId="0CEBEE49" w:rsidR="005242CB" w:rsidRPr="001E2CE1" w:rsidRDefault="005242CB" w:rsidP="005242CB">
      <w:pPr>
        <w:pStyle w:val="Odsekzoznamu"/>
        <w:numPr>
          <w:ilvl w:val="0"/>
          <w:numId w:val="40"/>
        </w:numPr>
        <w:suppressAutoHyphens/>
        <w:spacing w:after="0" w:line="256" w:lineRule="auto"/>
        <w:jc w:val="both"/>
        <w:rPr>
          <w:rFonts w:eastAsia="Times New Roman" w:cstheme="minorHAnsi"/>
          <w:lang w:eastAsia="sk-SK"/>
        </w:rPr>
      </w:pPr>
      <w:r w:rsidRPr="001E2CE1">
        <w:rPr>
          <w:rFonts w:eastAsia="Times New Roman" w:cstheme="minorHAnsi"/>
          <w:lang w:eastAsia="sk-SK"/>
        </w:rPr>
        <w:t>poskytovateľ telefónnych služieb</w:t>
      </w:r>
      <w:r w:rsidR="00CA1212">
        <w:rPr>
          <w:rFonts w:eastAsia="Times New Roman" w:cstheme="minorHAnsi"/>
          <w:lang w:eastAsia="sk-SK"/>
        </w:rPr>
        <w:t>,</w:t>
      </w:r>
    </w:p>
    <w:p w14:paraId="3641BCAD" w14:textId="52211E91" w:rsidR="005242CB" w:rsidRPr="001E2CE1" w:rsidRDefault="005242CB" w:rsidP="005242CB">
      <w:pPr>
        <w:pStyle w:val="Odsekzoznamu"/>
        <w:numPr>
          <w:ilvl w:val="0"/>
          <w:numId w:val="40"/>
        </w:numPr>
        <w:suppressAutoHyphens/>
        <w:spacing w:after="0" w:line="256" w:lineRule="auto"/>
        <w:jc w:val="both"/>
        <w:rPr>
          <w:rFonts w:eastAsia="Times New Roman" w:cstheme="minorHAnsi"/>
          <w:lang w:eastAsia="sk-SK"/>
        </w:rPr>
      </w:pPr>
      <w:r w:rsidRPr="001E2CE1">
        <w:rPr>
          <w:rFonts w:eastAsia="Times New Roman" w:cstheme="minorHAnsi"/>
          <w:lang w:eastAsia="sk-SK"/>
        </w:rPr>
        <w:t>poskytovateľ dátových služieb</w:t>
      </w:r>
      <w:r w:rsidR="00CA1212">
        <w:rPr>
          <w:rFonts w:eastAsia="Times New Roman" w:cstheme="minorHAnsi"/>
          <w:lang w:eastAsia="sk-SK"/>
        </w:rPr>
        <w:t>,</w:t>
      </w:r>
    </w:p>
    <w:p w14:paraId="60693122" w14:textId="5B9E8C69" w:rsidR="005242CB" w:rsidRPr="001E2CE1" w:rsidRDefault="005242CB" w:rsidP="005242CB">
      <w:pPr>
        <w:pStyle w:val="Odsekzoznamu"/>
        <w:numPr>
          <w:ilvl w:val="0"/>
          <w:numId w:val="40"/>
        </w:numPr>
        <w:suppressAutoHyphens/>
        <w:spacing w:after="0" w:line="256" w:lineRule="auto"/>
        <w:jc w:val="both"/>
        <w:rPr>
          <w:rFonts w:eastAsia="Times New Roman" w:cstheme="minorHAnsi"/>
          <w:lang w:eastAsia="sk-SK"/>
        </w:rPr>
      </w:pPr>
      <w:r w:rsidRPr="001E2CE1">
        <w:rPr>
          <w:rFonts w:eastAsia="Times New Roman" w:cstheme="minorHAnsi"/>
          <w:lang w:eastAsia="sk-SK"/>
        </w:rPr>
        <w:t>poskytovateľ platformy pre emailovú komunikáciu</w:t>
      </w:r>
      <w:r w:rsidR="00CA1212">
        <w:rPr>
          <w:rFonts w:eastAsia="Times New Roman" w:cstheme="minorHAnsi"/>
          <w:lang w:eastAsia="sk-SK"/>
        </w:rPr>
        <w:t>,</w:t>
      </w:r>
    </w:p>
    <w:p w14:paraId="67617BAE" w14:textId="1A795F2A" w:rsidR="005242CB" w:rsidRPr="001E2CE1" w:rsidRDefault="005242CB" w:rsidP="005242CB">
      <w:pPr>
        <w:pStyle w:val="Odsekzoznamu"/>
        <w:numPr>
          <w:ilvl w:val="0"/>
          <w:numId w:val="40"/>
        </w:numPr>
        <w:suppressAutoHyphens/>
        <w:spacing w:after="0" w:line="256" w:lineRule="auto"/>
        <w:jc w:val="both"/>
        <w:rPr>
          <w:rFonts w:eastAsia="Times New Roman" w:cstheme="minorHAnsi"/>
          <w:lang w:eastAsia="sk-SK"/>
        </w:rPr>
      </w:pPr>
      <w:r w:rsidRPr="001E2CE1">
        <w:rPr>
          <w:rFonts w:eastAsia="Times New Roman" w:cstheme="minorHAnsi"/>
          <w:lang w:eastAsia="sk-SK"/>
        </w:rPr>
        <w:t>poskytovateľ ekonomického soft</w:t>
      </w:r>
      <w:r w:rsidR="00076699">
        <w:rPr>
          <w:rFonts w:eastAsia="Times New Roman" w:cstheme="minorHAnsi"/>
          <w:lang w:eastAsia="sk-SK"/>
        </w:rPr>
        <w:t>véru</w:t>
      </w:r>
      <w:r w:rsidR="00CA1212">
        <w:rPr>
          <w:rFonts w:eastAsia="Times New Roman" w:cstheme="minorHAnsi"/>
          <w:lang w:eastAsia="sk-SK"/>
        </w:rPr>
        <w:t>.</w:t>
      </w:r>
    </w:p>
    <w:bookmarkEnd w:id="1"/>
    <w:p w14:paraId="53AC55AB" w14:textId="77777777" w:rsidR="005242CB" w:rsidRPr="001E2CE1" w:rsidRDefault="005242CB" w:rsidP="005242CB">
      <w:pPr>
        <w:pStyle w:val="Odsekzoznamu"/>
        <w:suppressAutoHyphens/>
        <w:spacing w:after="0" w:line="256" w:lineRule="auto"/>
        <w:jc w:val="both"/>
        <w:rPr>
          <w:rFonts w:eastAsia="Times New Roman" w:cstheme="minorHAnsi"/>
          <w:lang w:eastAsia="sk-SK"/>
        </w:rPr>
      </w:pPr>
    </w:p>
    <w:p w14:paraId="3A39B12C" w14:textId="77777777" w:rsidR="00011880" w:rsidRPr="001E2CE1" w:rsidRDefault="00011880" w:rsidP="00011880">
      <w:pPr>
        <w:spacing w:after="0" w:line="240" w:lineRule="auto"/>
        <w:jc w:val="both"/>
        <w:rPr>
          <w:rFonts w:eastAsia="Times New Roman" w:cstheme="minorHAnsi"/>
          <w:lang w:eastAsia="sk-SK"/>
        </w:rPr>
      </w:pPr>
      <w:bookmarkStart w:id="2" w:name="_Hlk164178875"/>
      <w:r w:rsidRPr="001E2CE1">
        <w:rPr>
          <w:rFonts w:eastAsia="Times New Roman" w:cstheme="minorHAnsi"/>
          <w:b/>
          <w:bCs/>
          <w:u w:val="single"/>
          <w:lang w:eastAsia="sk-SK"/>
        </w:rPr>
        <w:t>Iný oprávnený subjekt:</w:t>
      </w:r>
      <w:r w:rsidRPr="001E2CE1">
        <w:rPr>
          <w:rFonts w:eastAsia="Times New Roman"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524EAA5E" w14:textId="77777777" w:rsidR="00011880" w:rsidRPr="001E2CE1" w:rsidRDefault="00011880" w:rsidP="00011880">
      <w:pPr>
        <w:numPr>
          <w:ilvl w:val="0"/>
          <w:numId w:val="42"/>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Kontrolné a dozorné orgány Slovenskej republiky:</w:t>
      </w:r>
      <w:r w:rsidRPr="001E2CE1">
        <w:rPr>
          <w:rFonts w:eastAsia="Times New Roman" w:cstheme="minorHAnsi"/>
          <w:lang w:eastAsia="sk-SK"/>
        </w:rPr>
        <w:t xml:space="preserve"> Orgány, ktoré majú právomoc dohliadať na dodržiavanie zákonov v rôznych sektoroch, vrátane Úradu na ochranu osobných údajov. Tieto </w:t>
      </w:r>
      <w:r w:rsidRPr="001E2CE1">
        <w:rPr>
          <w:rFonts w:eastAsia="Times New Roman" w:cstheme="minorHAnsi"/>
          <w:lang w:eastAsia="sk-SK"/>
        </w:rPr>
        <w:lastRenderedPageBreak/>
        <w:t>orgány môžu vyžadovať prístup k osobným údajom v rozsahu nevyhnutnom pre vykonávanie ich kontrolných a dozorných úloh.</w:t>
      </w:r>
    </w:p>
    <w:p w14:paraId="2EEAB9A2" w14:textId="77777777" w:rsidR="00011880" w:rsidRPr="001E2CE1" w:rsidRDefault="00011880" w:rsidP="00011880">
      <w:pPr>
        <w:numPr>
          <w:ilvl w:val="0"/>
          <w:numId w:val="42"/>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Súdy a orgány trestného konania:</w:t>
      </w:r>
      <w:r w:rsidRPr="001E2CE1">
        <w:rPr>
          <w:rFonts w:eastAsia="Times New Roman"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7DE03B63" w14:textId="77777777" w:rsidR="00011880" w:rsidRPr="001E2CE1" w:rsidRDefault="00011880" w:rsidP="00011880">
      <w:pPr>
        <w:numPr>
          <w:ilvl w:val="0"/>
          <w:numId w:val="42"/>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Príslušná Slovenská obchodná inšpekcia:</w:t>
      </w:r>
      <w:r w:rsidRPr="001E2CE1">
        <w:rPr>
          <w:rFonts w:eastAsia="Times New Roman"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1E53465E" w14:textId="77777777" w:rsidR="00011880" w:rsidRPr="001E2CE1" w:rsidRDefault="00011880" w:rsidP="00011880">
      <w:pPr>
        <w:numPr>
          <w:ilvl w:val="0"/>
          <w:numId w:val="42"/>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Iné subjekty oprávnené na základe osobitných zákonov:</w:t>
      </w:r>
      <w:r w:rsidRPr="001E2CE1">
        <w:rPr>
          <w:rFonts w:eastAsia="Times New Roman"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7BBF524C" w14:textId="77777777" w:rsidR="00011880" w:rsidRPr="001E2CE1" w:rsidRDefault="00011880" w:rsidP="00011880">
      <w:pPr>
        <w:spacing w:after="0"/>
        <w:jc w:val="both"/>
        <w:rPr>
          <w:rFonts w:cstheme="minorHAnsi"/>
          <w:b/>
          <w:u w:val="single"/>
        </w:rPr>
      </w:pPr>
    </w:p>
    <w:p w14:paraId="75C518C1" w14:textId="77777777" w:rsidR="00011880" w:rsidRPr="001E2CE1" w:rsidRDefault="00011880" w:rsidP="00011880">
      <w:pPr>
        <w:spacing w:after="0"/>
        <w:jc w:val="both"/>
        <w:rPr>
          <w:rFonts w:cstheme="minorHAnsi"/>
          <w:b/>
          <w:u w:val="single"/>
        </w:rPr>
      </w:pPr>
      <w:r w:rsidRPr="001E2CE1">
        <w:rPr>
          <w:rFonts w:cstheme="minorHAnsi"/>
          <w:b/>
          <w:u w:val="single"/>
        </w:rPr>
        <w:t xml:space="preserve">- do tretích krajín </w:t>
      </w:r>
    </w:p>
    <w:p w14:paraId="25539ABA" w14:textId="77777777" w:rsidR="00011880" w:rsidRPr="001E2CE1" w:rsidRDefault="00011880" w:rsidP="00011880">
      <w:pPr>
        <w:jc w:val="both"/>
        <w:rPr>
          <w:rFonts w:cstheme="minorHAnsi"/>
        </w:rPr>
      </w:pPr>
      <w:r w:rsidRPr="001E2CE1">
        <w:rPr>
          <w:rFonts w:cstheme="minorHAnsi"/>
        </w:rPr>
        <w:t xml:space="preserve">osobné údaje sa do tretích krajín neposkytujú. </w:t>
      </w:r>
    </w:p>
    <w:p w14:paraId="136399BB" w14:textId="77777777" w:rsidR="00011880" w:rsidRPr="001E2CE1" w:rsidRDefault="00011880" w:rsidP="00011880">
      <w:pPr>
        <w:spacing w:line="240" w:lineRule="auto"/>
        <w:contextualSpacing/>
        <w:jc w:val="both"/>
        <w:rPr>
          <w:rFonts w:cstheme="minorHAnsi"/>
        </w:rPr>
      </w:pPr>
      <w:r w:rsidRPr="001E2CE1">
        <w:rPr>
          <w:rFonts w:cstheme="minorHAnsi"/>
          <w:b/>
          <w:u w:val="single"/>
        </w:rPr>
        <w:t>- do medzinárodných organizácií</w:t>
      </w:r>
    </w:p>
    <w:p w14:paraId="6F0D4B56" w14:textId="77777777" w:rsidR="00011880" w:rsidRPr="001E2CE1" w:rsidRDefault="00011880" w:rsidP="00011880">
      <w:pPr>
        <w:spacing w:line="240" w:lineRule="auto"/>
        <w:contextualSpacing/>
        <w:jc w:val="both"/>
        <w:rPr>
          <w:rFonts w:cstheme="minorHAnsi"/>
        </w:rPr>
      </w:pPr>
      <w:r w:rsidRPr="001E2CE1">
        <w:rPr>
          <w:rFonts w:cstheme="minorHAnsi"/>
        </w:rPr>
        <w:t xml:space="preserve">osobné údaje sa do medzinárodných organizácií neposkytujú. </w:t>
      </w:r>
    </w:p>
    <w:p w14:paraId="6C10091E" w14:textId="77777777" w:rsidR="00011880" w:rsidRPr="001E2CE1" w:rsidRDefault="00011880" w:rsidP="00011880">
      <w:pPr>
        <w:spacing w:after="0"/>
        <w:jc w:val="both"/>
        <w:rPr>
          <w:rFonts w:cstheme="minorHAnsi"/>
        </w:rPr>
      </w:pPr>
    </w:p>
    <w:p w14:paraId="3E3AACE0" w14:textId="77777777" w:rsidR="00011880" w:rsidRPr="001E2CE1" w:rsidRDefault="00011880" w:rsidP="00011880">
      <w:pPr>
        <w:spacing w:after="0"/>
        <w:jc w:val="both"/>
        <w:rPr>
          <w:rFonts w:cstheme="minorHAnsi"/>
          <w:b/>
          <w:u w:val="single"/>
        </w:rPr>
      </w:pPr>
      <w:r w:rsidRPr="001E2CE1">
        <w:rPr>
          <w:rFonts w:cstheme="minorHAnsi"/>
          <w:b/>
          <w:u w:val="single"/>
        </w:rPr>
        <w:t>Zverejňovanie osobných údajov:</w:t>
      </w:r>
      <w:r w:rsidRPr="001E2CE1">
        <w:rPr>
          <w:rFonts w:cstheme="minorHAnsi"/>
          <w:bCs/>
        </w:rPr>
        <w:t xml:space="preserve"> </w:t>
      </w:r>
      <w:r w:rsidRPr="001E2CE1">
        <w:rPr>
          <w:rFonts w:cstheme="minorHAnsi"/>
        </w:rPr>
        <w:t>osobné údaje sa nezverejňujú.</w:t>
      </w:r>
    </w:p>
    <w:p w14:paraId="18F53BDD" w14:textId="77777777" w:rsidR="00751282" w:rsidRPr="001E2CE1" w:rsidRDefault="00751282" w:rsidP="00751282">
      <w:pPr>
        <w:suppressAutoHyphens/>
        <w:autoSpaceDN w:val="0"/>
        <w:spacing w:after="0" w:line="240" w:lineRule="auto"/>
        <w:jc w:val="both"/>
        <w:textAlignment w:val="baseline"/>
        <w:rPr>
          <w:rFonts w:eastAsia="Calibri" w:cstheme="minorHAnsi"/>
          <w:b/>
          <w:bCs/>
          <w:color w:val="111111"/>
          <w:u w:val="single"/>
        </w:rPr>
      </w:pPr>
    </w:p>
    <w:p w14:paraId="6DDC16F1" w14:textId="77777777" w:rsidR="00751282" w:rsidRPr="001E2CE1" w:rsidRDefault="00011880" w:rsidP="00AD0534">
      <w:pPr>
        <w:suppressAutoHyphens/>
        <w:autoSpaceDN w:val="0"/>
        <w:spacing w:after="0" w:line="240" w:lineRule="auto"/>
        <w:jc w:val="both"/>
        <w:textAlignment w:val="baseline"/>
        <w:rPr>
          <w:rFonts w:eastAsia="Calibri" w:cstheme="minorHAnsi"/>
          <w:color w:val="111111"/>
        </w:rPr>
      </w:pPr>
      <w:bookmarkStart w:id="3" w:name="_Hlk165500166"/>
      <w:r w:rsidRPr="001E2CE1">
        <w:rPr>
          <w:rFonts w:eastAsia="Calibri" w:cstheme="minorHAnsi"/>
          <w:b/>
          <w:bCs/>
          <w:color w:val="111111"/>
          <w:u w:val="single"/>
        </w:rPr>
        <w:t>Dôkaz oprávneného záujmu prevádzkovateľa (podľa čl. 6 ods. 1 písm. f) GDPR):</w:t>
      </w:r>
      <w:r w:rsidRPr="001E2CE1">
        <w:rPr>
          <w:rFonts w:eastAsia="Calibri" w:cstheme="minorHAnsi"/>
          <w:color w:val="111111"/>
        </w:rPr>
        <w:t> </w:t>
      </w:r>
    </w:p>
    <w:p w14:paraId="0CBBD891" w14:textId="77777777" w:rsidR="00AD0534" w:rsidRPr="001E2CE1" w:rsidRDefault="00751282" w:rsidP="00AD0534">
      <w:pPr>
        <w:spacing w:after="0" w:line="240" w:lineRule="auto"/>
        <w:jc w:val="both"/>
        <w:rPr>
          <w:rFonts w:cstheme="minorHAnsi"/>
        </w:rPr>
      </w:pPr>
      <w:r w:rsidRPr="001E2CE1">
        <w:rPr>
          <w:rFonts w:eastAsia="Calibri" w:cstheme="minorHAnsi"/>
          <w:color w:val="111111"/>
          <w:u w:val="single"/>
        </w:rPr>
        <w:t>V rámci účelu v bode a):</w:t>
      </w:r>
      <w:r w:rsidRPr="001E2CE1">
        <w:rPr>
          <w:rFonts w:eastAsia="Calibri" w:cstheme="minorHAnsi"/>
          <w:color w:val="111111"/>
        </w:rPr>
        <w:t xml:space="preserve"> </w:t>
      </w:r>
    </w:p>
    <w:p w14:paraId="7EC77D17" w14:textId="4688E4BC" w:rsidR="00AD0534" w:rsidRPr="001E2CE1" w:rsidRDefault="00AD0534" w:rsidP="00AD0534">
      <w:pPr>
        <w:pStyle w:val="Odsekzoznamu"/>
        <w:numPr>
          <w:ilvl w:val="0"/>
          <w:numId w:val="41"/>
        </w:numPr>
        <w:spacing w:after="0" w:line="240" w:lineRule="auto"/>
        <w:jc w:val="both"/>
        <w:rPr>
          <w:rFonts w:cstheme="minorHAnsi"/>
        </w:rPr>
      </w:pPr>
      <w:r w:rsidRPr="001E2CE1">
        <w:rPr>
          <w:rFonts w:cstheme="minorHAnsi"/>
        </w:rPr>
        <w:t>spracúvanie je nevyhnutné na účely oprávnených záujmov Prevádzkovateľa na plnení zmluvného vzťahu, ak zmluvnou stranou je FO, ktorá je zmluvnou stranou, zastupuje iná FO, pričom DO takéto spracúvanie môžu primerane očakávať,</w:t>
      </w:r>
    </w:p>
    <w:p w14:paraId="4616D0FE" w14:textId="77777777" w:rsidR="00AD0534" w:rsidRPr="001E2CE1" w:rsidRDefault="00AD0534" w:rsidP="00AD0534">
      <w:pPr>
        <w:pStyle w:val="Odsekzoznamu"/>
        <w:numPr>
          <w:ilvl w:val="0"/>
          <w:numId w:val="41"/>
        </w:numPr>
        <w:spacing w:after="0" w:line="240" w:lineRule="auto"/>
        <w:jc w:val="both"/>
        <w:rPr>
          <w:rFonts w:cstheme="minorHAnsi"/>
        </w:rPr>
      </w:pPr>
      <w:r w:rsidRPr="001E2CE1">
        <w:rPr>
          <w:rFonts w:cstheme="minorHAnsi"/>
        </w:rPr>
        <w:t>spracúvanie je nevyhnutné na účely oprávnených záujmov Prevádzkovateľa na plnení zmluvného vzťahu, ak zmluvnou stranou je právnická osoba (PO) a v jej mene vystupujú za účelom plnenia zmluvných vzťahov iné fyzické osoby (FO) na základe osobitného oprávnenia, pričom dotknuté osoby  takéto spracúvanie môžu primerane očakávať,</w:t>
      </w:r>
    </w:p>
    <w:p w14:paraId="745C8101" w14:textId="77777777" w:rsidR="00AD0534" w:rsidRPr="001E2CE1" w:rsidRDefault="00AD0534" w:rsidP="00AD0534">
      <w:pPr>
        <w:pStyle w:val="Odsekzoznamu"/>
        <w:numPr>
          <w:ilvl w:val="0"/>
          <w:numId w:val="41"/>
        </w:numPr>
        <w:spacing w:after="0" w:line="240" w:lineRule="auto"/>
        <w:jc w:val="both"/>
        <w:rPr>
          <w:rFonts w:cstheme="minorHAnsi"/>
        </w:rPr>
      </w:pPr>
      <w:r w:rsidRPr="001E2CE1">
        <w:rPr>
          <w:rFonts w:cstheme="minorHAnsi"/>
        </w:rPr>
        <w:t>spracúvanie je nevyhnutné na účely oprávnených záujmov Prevádzkovateľa na plnení zmluvného vzťahu, ak zmluvnou stranou je fyzická osoba podnikateľ (SZČO) a v jej mene vystupujú za účelom plnenia zmluvných vzťahov iné fyzické osoby (FO) na základe osobitného oprávnenia, pričom dotknuté osoby  takéto spracúvanie môžu primerane očakávať.</w:t>
      </w:r>
    </w:p>
    <w:p w14:paraId="42399F1E" w14:textId="77777777" w:rsidR="00AD0534" w:rsidRPr="001E2CE1" w:rsidRDefault="00AD0534" w:rsidP="00AD0534">
      <w:pPr>
        <w:spacing w:after="0" w:line="240" w:lineRule="auto"/>
        <w:jc w:val="both"/>
        <w:rPr>
          <w:rFonts w:cstheme="minorHAnsi"/>
          <w:color w:val="111111"/>
          <w:shd w:val="clear" w:color="auto" w:fill="F7F7F7"/>
        </w:rPr>
      </w:pPr>
    </w:p>
    <w:p w14:paraId="7C6D7634" w14:textId="65532830" w:rsidR="00AD0534" w:rsidRPr="001E2CE1" w:rsidRDefault="00751282" w:rsidP="00AD0534">
      <w:pPr>
        <w:spacing w:after="0" w:line="240" w:lineRule="auto"/>
        <w:jc w:val="both"/>
        <w:rPr>
          <w:rFonts w:eastAsia="Times New Roman" w:cstheme="minorHAnsi"/>
          <w:color w:val="111111"/>
          <w:lang w:eastAsia="sk-SK"/>
        </w:rPr>
      </w:pPr>
      <w:bookmarkStart w:id="4" w:name="_Hlk165492697"/>
      <w:r w:rsidRPr="001E2CE1">
        <w:rPr>
          <w:rFonts w:cstheme="minorHAnsi"/>
          <w:color w:val="111111"/>
          <w:u w:val="single"/>
          <w:shd w:val="clear" w:color="auto" w:fill="F7F7F7"/>
        </w:rPr>
        <w:t>V rámci účelu v bode b):</w:t>
      </w:r>
      <w:r w:rsidRPr="001E2CE1">
        <w:rPr>
          <w:rFonts w:cstheme="minorHAnsi"/>
          <w:color w:val="111111"/>
          <w:shd w:val="clear" w:color="auto" w:fill="F7F7F7"/>
        </w:rPr>
        <w:t xml:space="preserve"> </w:t>
      </w:r>
      <w:r w:rsidR="00AD0534" w:rsidRPr="001E2CE1">
        <w:rPr>
          <w:rFonts w:eastAsia="Times New Roman" w:cstheme="minorHAnsi"/>
          <w:color w:val="111111"/>
          <w:lang w:eastAsia="sk-SK"/>
        </w:rPr>
        <w:t>Prevádzkovateľ spracúva kontaktné údaje zákazníkov, ich kontaktných osôb a zamestnancov na základe oprávneného záujmu, ktorým je udržiavanie efektívnej evidencie a komunikácie potrebnej pre obchodné vzťahy a transakcie. Tento záujem je vyvážený s právami a slobodami dotknutých osôb, pričom sa kladie dôraz na transparentnosť a ochranu údajov.</w:t>
      </w:r>
    </w:p>
    <w:bookmarkEnd w:id="3"/>
    <w:bookmarkEnd w:id="4"/>
    <w:p w14:paraId="7984E7A6" w14:textId="77777777" w:rsidR="00AD0534" w:rsidRPr="001E2CE1" w:rsidRDefault="00AD0534" w:rsidP="00AD0534">
      <w:pPr>
        <w:pStyle w:val="Normlnywebov"/>
        <w:spacing w:before="0" w:beforeAutospacing="0"/>
        <w:contextualSpacing/>
        <w:jc w:val="both"/>
        <w:rPr>
          <w:rFonts w:asciiTheme="minorHAnsi" w:hAnsiTheme="minorHAnsi" w:cstheme="minorHAnsi"/>
          <w:b/>
          <w:bCs/>
          <w:sz w:val="22"/>
          <w:szCs w:val="22"/>
          <w:u w:val="single"/>
          <w:lang w:eastAsia="zh-CN"/>
        </w:rPr>
      </w:pPr>
    </w:p>
    <w:p w14:paraId="5CE45D0D" w14:textId="62E4AB1A" w:rsidR="00011880" w:rsidRPr="001E2CE1" w:rsidRDefault="00011880" w:rsidP="00AD0534">
      <w:pPr>
        <w:pStyle w:val="Normlnywebov"/>
        <w:spacing w:before="0" w:beforeAutospacing="0"/>
        <w:contextualSpacing/>
        <w:jc w:val="both"/>
        <w:rPr>
          <w:rFonts w:asciiTheme="minorHAnsi" w:hAnsiTheme="minorHAnsi" w:cstheme="minorHAnsi"/>
          <w:sz w:val="22"/>
          <w:szCs w:val="22"/>
        </w:rPr>
      </w:pPr>
      <w:r w:rsidRPr="001E2CE1">
        <w:rPr>
          <w:rFonts w:asciiTheme="minorHAnsi" w:hAnsiTheme="minorHAnsi" w:cstheme="minorHAnsi"/>
          <w:b/>
          <w:bCs/>
          <w:sz w:val="22"/>
          <w:szCs w:val="22"/>
          <w:u w:val="single"/>
          <w:lang w:eastAsia="zh-CN"/>
        </w:rPr>
        <w:t>Doba uchovávania / kritérium jej určenia:</w:t>
      </w:r>
      <w:r w:rsidRPr="001E2CE1">
        <w:rPr>
          <w:rFonts w:asciiTheme="minorHAnsi" w:hAnsiTheme="minorHAnsi" w:cstheme="minorHAnsi"/>
          <w:sz w:val="22"/>
          <w:szCs w:val="22"/>
          <w:lang w:eastAsia="zh-CN"/>
        </w:rPr>
        <w:t xml:space="preserve"> </w:t>
      </w:r>
      <w:r w:rsidRPr="001E2CE1">
        <w:rPr>
          <w:rFonts w:asciiTheme="minorHAnsi" w:hAnsiTheme="minorHAnsi" w:cstheme="minorHAnsi"/>
          <w:sz w:val="22"/>
          <w:szCs w:val="22"/>
        </w:rPr>
        <w:t>5 rokov od poslednej obchodnej aktivity.</w:t>
      </w:r>
      <w:bookmarkStart w:id="5" w:name="_Hlk164330682"/>
    </w:p>
    <w:p w14:paraId="3FD2AB24" w14:textId="77777777" w:rsidR="00011880" w:rsidRPr="001E2CE1" w:rsidRDefault="00011880" w:rsidP="00011880">
      <w:pPr>
        <w:pStyle w:val="Normlnywebov"/>
        <w:contextualSpacing/>
        <w:jc w:val="both"/>
        <w:rPr>
          <w:rFonts w:asciiTheme="minorHAnsi" w:hAnsiTheme="minorHAnsi" w:cstheme="minorHAnsi"/>
          <w:sz w:val="22"/>
          <w:szCs w:val="22"/>
        </w:rPr>
      </w:pPr>
    </w:p>
    <w:p w14:paraId="0FFC61BE" w14:textId="77777777" w:rsidR="00011880" w:rsidRPr="001E2CE1" w:rsidRDefault="00011880" w:rsidP="00011880">
      <w:pPr>
        <w:pStyle w:val="Normlnywebov"/>
        <w:contextualSpacing/>
        <w:jc w:val="both"/>
        <w:rPr>
          <w:rFonts w:asciiTheme="minorHAnsi" w:hAnsiTheme="minorHAnsi" w:cstheme="minorHAnsi"/>
          <w:sz w:val="22"/>
          <w:szCs w:val="22"/>
        </w:rPr>
      </w:pPr>
      <w:r w:rsidRPr="00CA1212">
        <w:rPr>
          <w:rFonts w:asciiTheme="minorHAnsi" w:hAnsiTheme="minorHAnsi" w:cstheme="minorHAnsi"/>
          <w:b/>
          <w:bCs/>
          <w:sz w:val="22"/>
          <w:szCs w:val="22"/>
          <w:u w:val="single"/>
        </w:rPr>
        <w:t>Periodická revízia a vymazávanie údajov:</w:t>
      </w:r>
      <w:r w:rsidRPr="001E2CE1">
        <w:rPr>
          <w:rFonts w:asciiTheme="minorHAnsi" w:hAnsiTheme="minorHAnsi" w:cstheme="minorHAnsi"/>
          <w:sz w:val="22"/>
          <w:szCs w:val="22"/>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bookmarkStart w:id="6" w:name="_Hlk164333196"/>
      <w:bookmarkEnd w:id="5"/>
    </w:p>
    <w:p w14:paraId="603E6B72" w14:textId="77777777" w:rsidR="00011880" w:rsidRPr="001E2CE1" w:rsidRDefault="00011880" w:rsidP="00011880">
      <w:pPr>
        <w:suppressAutoHyphens/>
        <w:autoSpaceDN w:val="0"/>
        <w:spacing w:after="0" w:line="240" w:lineRule="auto"/>
        <w:jc w:val="both"/>
        <w:rPr>
          <w:rFonts w:eastAsia="Calibri" w:cstheme="minorHAnsi"/>
          <w:b/>
          <w:bCs/>
          <w:u w:val="single"/>
        </w:rPr>
      </w:pPr>
      <w:r w:rsidRPr="001E2CE1">
        <w:rPr>
          <w:rFonts w:eastAsia="Calibri" w:cstheme="minorHAnsi"/>
          <w:b/>
          <w:bCs/>
          <w:u w:val="single"/>
        </w:rPr>
        <w:t>Zásada minimalizácie a vymazávania údajov:</w:t>
      </w:r>
    </w:p>
    <w:p w14:paraId="55ACE1CF" w14:textId="77777777" w:rsidR="00011880" w:rsidRPr="001E2CE1" w:rsidRDefault="00011880" w:rsidP="00011880">
      <w:pPr>
        <w:suppressAutoHyphens/>
        <w:autoSpaceDN w:val="0"/>
        <w:spacing w:after="0" w:line="240" w:lineRule="auto"/>
        <w:jc w:val="both"/>
        <w:rPr>
          <w:rFonts w:eastAsia="Calibri" w:cstheme="minorHAnsi"/>
        </w:rPr>
      </w:pPr>
      <w:r w:rsidRPr="001E2CE1">
        <w:rPr>
          <w:rFonts w:eastAsia="Calibr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645FA387" w14:textId="77777777" w:rsidR="00011880" w:rsidRPr="001E2CE1" w:rsidRDefault="00011880" w:rsidP="00011880">
      <w:pPr>
        <w:suppressAutoHyphens/>
        <w:autoSpaceDN w:val="0"/>
        <w:spacing w:after="0" w:line="240" w:lineRule="auto"/>
        <w:jc w:val="both"/>
        <w:rPr>
          <w:rFonts w:eastAsia="Calibri" w:cstheme="minorHAnsi"/>
        </w:rPr>
      </w:pPr>
    </w:p>
    <w:p w14:paraId="4411705F" w14:textId="77777777" w:rsidR="00011880" w:rsidRPr="001E2CE1" w:rsidRDefault="00011880" w:rsidP="00011880">
      <w:pPr>
        <w:suppressAutoHyphens/>
        <w:autoSpaceDN w:val="0"/>
        <w:spacing w:after="0" w:line="240" w:lineRule="auto"/>
        <w:jc w:val="both"/>
        <w:rPr>
          <w:rFonts w:eastAsia="Calibri" w:cstheme="minorHAnsi"/>
          <w:b/>
          <w:bCs/>
          <w:u w:val="single"/>
        </w:rPr>
      </w:pPr>
      <w:r w:rsidRPr="001E2CE1">
        <w:rPr>
          <w:rFonts w:eastAsia="Calibri" w:cstheme="minorHAnsi"/>
          <w:b/>
          <w:bCs/>
          <w:u w:val="single"/>
        </w:rPr>
        <w:t>Transparentnosť pri zmene účelu spracúvania:</w:t>
      </w:r>
    </w:p>
    <w:p w14:paraId="6C10CFCA" w14:textId="77777777" w:rsidR="00011880" w:rsidRPr="001E2CE1" w:rsidRDefault="00011880" w:rsidP="00011880">
      <w:pPr>
        <w:suppressAutoHyphens/>
        <w:autoSpaceDN w:val="0"/>
        <w:spacing w:after="0" w:line="240" w:lineRule="auto"/>
        <w:jc w:val="both"/>
        <w:rPr>
          <w:rFonts w:eastAsia="Calibri" w:cstheme="minorHAnsi"/>
          <w:color w:val="0D0D0D"/>
        </w:rPr>
      </w:pPr>
      <w:r w:rsidRPr="001E2CE1">
        <w:rPr>
          <w:rFonts w:eastAsia="Calibr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1E2CE1">
        <w:rPr>
          <w:rFonts w:eastAsia="Calibri" w:cstheme="minorHAnsi"/>
          <w:color w:val="0D0D0D"/>
        </w:rPr>
        <w:t xml:space="preserve"> osoby plne transparentné.</w:t>
      </w:r>
    </w:p>
    <w:p w14:paraId="5C006C12" w14:textId="77777777" w:rsidR="00011880" w:rsidRPr="001E2CE1" w:rsidRDefault="00011880" w:rsidP="00011880">
      <w:pPr>
        <w:spacing w:after="0" w:line="240" w:lineRule="auto"/>
        <w:jc w:val="both"/>
        <w:rPr>
          <w:rFonts w:eastAsia="Times New Roman" w:cstheme="minorHAnsi"/>
          <w:b/>
          <w:bCs/>
          <w:u w:val="single"/>
          <w:lang w:eastAsia="sk-SK"/>
        </w:rPr>
      </w:pPr>
    </w:p>
    <w:p w14:paraId="173ED9C4" w14:textId="77777777" w:rsidR="00011880" w:rsidRPr="001E2CE1" w:rsidRDefault="00011880" w:rsidP="00011880">
      <w:pPr>
        <w:spacing w:after="0" w:line="240" w:lineRule="auto"/>
        <w:jc w:val="both"/>
        <w:rPr>
          <w:rFonts w:eastAsia="Times New Roman" w:cstheme="minorHAnsi"/>
          <w:lang w:eastAsia="sk-SK"/>
        </w:rPr>
      </w:pPr>
      <w:r w:rsidRPr="001E2CE1">
        <w:rPr>
          <w:rFonts w:eastAsia="Times New Roman" w:cstheme="minorHAnsi"/>
          <w:b/>
          <w:bCs/>
          <w:u w:val="single"/>
          <w:lang w:eastAsia="sk-SK"/>
        </w:rPr>
        <w:t>Technické a organizačné bezpečnostné opatrenia:</w:t>
      </w:r>
      <w:r w:rsidRPr="001E2CE1">
        <w:rPr>
          <w:rFonts w:eastAsia="Times New Roman" w:cstheme="minorHAnsi"/>
          <w:lang w:eastAsia="sk-SK"/>
        </w:rPr>
        <w:t xml:space="preserve"> </w:t>
      </w:r>
    </w:p>
    <w:p w14:paraId="6134E4E8" w14:textId="77777777" w:rsidR="00011880" w:rsidRPr="001E2CE1" w:rsidRDefault="00011880" w:rsidP="00011880">
      <w:pPr>
        <w:spacing w:after="0" w:line="240" w:lineRule="auto"/>
        <w:jc w:val="both"/>
        <w:rPr>
          <w:rFonts w:eastAsia="Times New Roman" w:cstheme="minorHAnsi"/>
          <w:color w:val="0D0D0D"/>
          <w:lang w:eastAsia="sk-SK"/>
        </w:rPr>
      </w:pPr>
      <w:r w:rsidRPr="001E2CE1">
        <w:rPr>
          <w:rFonts w:eastAsia="Times New Roman"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453E74AB" w14:textId="67C6FD21" w:rsidR="00011880" w:rsidRPr="001E2CE1" w:rsidRDefault="00011880" w:rsidP="00011880">
      <w:pPr>
        <w:numPr>
          <w:ilvl w:val="0"/>
          <w:numId w:val="43"/>
        </w:numPr>
        <w:suppressAutoHyphens/>
        <w:autoSpaceDN w:val="0"/>
        <w:spacing w:after="0" w:line="240" w:lineRule="auto"/>
        <w:jc w:val="both"/>
        <w:textAlignment w:val="baseline"/>
        <w:rPr>
          <w:rFonts w:eastAsia="Times New Roman" w:cstheme="minorHAnsi"/>
          <w:color w:val="0D0D0D"/>
          <w:lang w:eastAsia="sk-SK"/>
        </w:rPr>
      </w:pPr>
      <w:r w:rsidRPr="001E2CE1">
        <w:rPr>
          <w:rFonts w:eastAsia="Times New Roman" w:cstheme="minorHAnsi"/>
          <w:b/>
          <w:bCs/>
          <w:lang w:eastAsia="sk-SK"/>
        </w:rPr>
        <w:t>Fyzická a objektová bezpečnosť:</w:t>
      </w:r>
      <w:r w:rsidRPr="001E2CE1">
        <w:rPr>
          <w:rFonts w:eastAsia="Times New Roman" w:cstheme="minorHAnsi"/>
          <w:color w:val="0D0D0D"/>
          <w:lang w:eastAsia="sk-SK"/>
        </w:rPr>
        <w:t xml:space="preserve"> Zabezpečenie prístupu do priestorov a zabezpečenie zariadení, ktoré uchovávajú osobné údaje, pomocou kontrol prístupu.</w:t>
      </w:r>
    </w:p>
    <w:p w14:paraId="080E9C8A" w14:textId="77777777" w:rsidR="00011880" w:rsidRPr="001E2CE1" w:rsidRDefault="00011880" w:rsidP="00011880">
      <w:pPr>
        <w:numPr>
          <w:ilvl w:val="0"/>
          <w:numId w:val="44"/>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Informačná bezpečnosť:</w:t>
      </w:r>
      <w:r w:rsidRPr="001E2CE1">
        <w:rPr>
          <w:rFonts w:eastAsia="Times New Roman" w:cstheme="minorHAnsi"/>
          <w:lang w:eastAsia="sk-SK"/>
        </w:rPr>
        <w:t xml:space="preserve"> Ochrana dátových systémov a sietí pred neoprávneným prístupom, útokmi a škodlivým softvérom pomocou firewallov, šifrovania a bezpečnostných protokolov.</w:t>
      </w:r>
    </w:p>
    <w:p w14:paraId="33981A7F" w14:textId="77777777" w:rsidR="00011880" w:rsidRPr="001E2CE1" w:rsidRDefault="00011880" w:rsidP="00011880">
      <w:pPr>
        <w:numPr>
          <w:ilvl w:val="0"/>
          <w:numId w:val="44"/>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Šifrovanie informácií:</w:t>
      </w:r>
      <w:r w:rsidRPr="001E2CE1">
        <w:rPr>
          <w:rFonts w:eastAsia="Times New Roman" w:cstheme="minorHAnsi"/>
          <w:lang w:eastAsia="sk-SK"/>
        </w:rPr>
        <w:t xml:space="preserve"> Použitie štandardov na šifrovanie pri ukladaní a prenose dát, aby sa zabezpečila ich dôvernosť a integrita.</w:t>
      </w:r>
    </w:p>
    <w:p w14:paraId="6D3D5519" w14:textId="77777777" w:rsidR="00011880" w:rsidRPr="001E2CE1" w:rsidRDefault="00011880" w:rsidP="00011880">
      <w:pPr>
        <w:numPr>
          <w:ilvl w:val="0"/>
          <w:numId w:val="44"/>
        </w:numPr>
        <w:suppressAutoHyphens/>
        <w:autoSpaceDN w:val="0"/>
        <w:spacing w:after="0" w:line="240" w:lineRule="auto"/>
        <w:jc w:val="both"/>
        <w:textAlignment w:val="baseline"/>
        <w:rPr>
          <w:rFonts w:eastAsia="Times New Roman" w:cstheme="minorHAnsi"/>
          <w:lang w:eastAsia="sk-SK"/>
        </w:rPr>
      </w:pPr>
      <w:r w:rsidRPr="001E2CE1">
        <w:rPr>
          <w:rFonts w:eastAsia="Times New Roman" w:cstheme="minorHAnsi"/>
          <w:b/>
          <w:bCs/>
          <w:lang w:eastAsia="sk-SK"/>
        </w:rPr>
        <w:t>Personálna a administratívna bezpečnosť:</w:t>
      </w:r>
      <w:r w:rsidRPr="001E2CE1">
        <w:rPr>
          <w:rFonts w:eastAsia="Times New Roman" w:cstheme="minorHAnsi"/>
          <w:lang w:eastAsia="sk-SK"/>
        </w:rPr>
        <w:t xml:space="preserve"> </w:t>
      </w:r>
      <w:bookmarkStart w:id="7" w:name="_Hlk164330513"/>
      <w:r w:rsidRPr="001E2CE1">
        <w:rPr>
          <w:rFonts w:eastAsia="Times New Roman" w:cstheme="minorHAnsi"/>
          <w:lang w:eastAsia="sk-SK"/>
        </w:rPr>
        <w:t>Pravidelné školenia zamestnancov o bezpečnostných politikách a postupoch, prísne procesy na overenie identity a prístupové práva.</w:t>
      </w:r>
      <w:r w:rsidRPr="001E2CE1">
        <w:rPr>
          <w:rFonts w:eastAsia="Calibri" w:cstheme="minorHAnsi"/>
          <w:color w:val="111111"/>
          <w:shd w:val="clear" w:color="auto" w:fill="FFFFFF"/>
        </w:rPr>
        <w:t xml:space="preserve"> </w:t>
      </w:r>
      <w:bookmarkStart w:id="8" w:name="_Hlk164178831"/>
      <w:r w:rsidRPr="001E2CE1">
        <w:rPr>
          <w:rFonts w:eastAsia="Calibri" w:cstheme="minorHAns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6"/>
      <w:bookmarkEnd w:id="7"/>
      <w:bookmarkEnd w:id="8"/>
    </w:p>
    <w:p w14:paraId="3C8D07E4" w14:textId="55A51C40" w:rsidR="00C80A38" w:rsidRPr="001E2CE1" w:rsidRDefault="00C80A38" w:rsidP="00011880">
      <w:pPr>
        <w:spacing w:after="0"/>
        <w:jc w:val="both"/>
        <w:rPr>
          <w:rFonts w:cstheme="minorHAnsi"/>
        </w:rPr>
      </w:pPr>
    </w:p>
    <w:p w14:paraId="4B793D6C" w14:textId="77777777" w:rsidR="00011880" w:rsidRPr="001E2CE1" w:rsidRDefault="00011880" w:rsidP="00011880">
      <w:pPr>
        <w:spacing w:after="0" w:line="240" w:lineRule="auto"/>
        <w:jc w:val="both"/>
        <w:rPr>
          <w:rFonts w:eastAsia="Times New Roman" w:cstheme="minorHAnsi"/>
          <w:b/>
          <w:bCs/>
          <w:u w:val="single"/>
          <w:lang w:eastAsia="sk-SK"/>
        </w:rPr>
      </w:pPr>
      <w:r w:rsidRPr="001E2CE1">
        <w:rPr>
          <w:rFonts w:eastAsia="Times New Roman" w:cstheme="minorHAnsi"/>
          <w:b/>
          <w:bCs/>
          <w:u w:val="single"/>
          <w:lang w:eastAsia="sk-SK"/>
        </w:rPr>
        <w:t>Automatizované individuálne rozhodovanie vrátane profilovania:</w:t>
      </w:r>
      <w:r w:rsidRPr="001E2CE1">
        <w:rPr>
          <w:rFonts w:eastAsia="Times New Roman" w:cstheme="minorHAnsi"/>
          <w:lang w:eastAsia="sk-SK"/>
        </w:rPr>
        <w:t xml:space="preserve"> automatizované individuálne rozhodovanie vrátane profilovania sa nevykonáva. </w:t>
      </w:r>
    </w:p>
    <w:p w14:paraId="64F3D3CC" w14:textId="77777777" w:rsidR="00011880" w:rsidRPr="001E2CE1" w:rsidRDefault="00011880" w:rsidP="00011880">
      <w:pPr>
        <w:spacing w:after="0"/>
        <w:jc w:val="both"/>
        <w:rPr>
          <w:rFonts w:cstheme="minorHAnsi"/>
        </w:rPr>
      </w:pPr>
    </w:p>
    <w:sectPr w:rsidR="00011880" w:rsidRPr="001E2CE1" w:rsidSect="00784E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B9A" w14:textId="77777777" w:rsidR="00784E6F" w:rsidRDefault="00784E6F" w:rsidP="00FF5CC2">
      <w:pPr>
        <w:spacing w:after="0" w:line="240" w:lineRule="auto"/>
      </w:pPr>
      <w:r>
        <w:separator/>
      </w:r>
    </w:p>
  </w:endnote>
  <w:endnote w:type="continuationSeparator" w:id="0">
    <w:p w14:paraId="41365F63" w14:textId="77777777" w:rsidR="00784E6F" w:rsidRDefault="00784E6F"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63B" w14:textId="77777777" w:rsidR="00784E6F" w:rsidRDefault="00784E6F" w:rsidP="00FF5CC2">
      <w:pPr>
        <w:spacing w:after="0" w:line="240" w:lineRule="auto"/>
      </w:pPr>
      <w:r>
        <w:separator/>
      </w:r>
    </w:p>
  </w:footnote>
  <w:footnote w:type="continuationSeparator" w:id="0">
    <w:p w14:paraId="363059FE" w14:textId="77777777" w:rsidR="00784E6F" w:rsidRDefault="00784E6F"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0D27A9" w:rsidRDefault="00FF5CC2" w:rsidP="00FF5CC2">
    <w:pPr>
      <w:spacing w:after="0"/>
      <w:jc w:val="center"/>
      <w:rPr>
        <w:rFonts w:ascii="Calibri" w:eastAsia="+mj-ea" w:hAnsi="Calibri" w:cs="Calibri"/>
        <w:b/>
      </w:rPr>
    </w:pPr>
    <w:r w:rsidRPr="000D27A9">
      <w:rPr>
        <w:rFonts w:ascii="Calibri" w:eastAsia="+mj-ea" w:hAnsi="Calibri" w:cs="Calibri"/>
        <w:b/>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D3D1B45"/>
    <w:multiLevelType w:val="hybridMultilevel"/>
    <w:tmpl w:val="6A6C26A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2"/>
  </w:num>
  <w:num w:numId="2" w16cid:durableId="1857647115">
    <w:abstractNumId w:val="15"/>
  </w:num>
  <w:num w:numId="3" w16cid:durableId="698046257">
    <w:abstractNumId w:val="13"/>
  </w:num>
  <w:num w:numId="4" w16cid:durableId="945119691">
    <w:abstractNumId w:val="37"/>
  </w:num>
  <w:num w:numId="5" w16cid:durableId="1944994719">
    <w:abstractNumId w:val="34"/>
  </w:num>
  <w:num w:numId="6" w16cid:durableId="782114336">
    <w:abstractNumId w:val="43"/>
  </w:num>
  <w:num w:numId="7" w16cid:durableId="1493134721">
    <w:abstractNumId w:val="35"/>
  </w:num>
  <w:num w:numId="8" w16cid:durableId="1164709099">
    <w:abstractNumId w:val="27"/>
  </w:num>
  <w:num w:numId="9" w16cid:durableId="1322468615">
    <w:abstractNumId w:val="41"/>
  </w:num>
  <w:num w:numId="10" w16cid:durableId="121121245">
    <w:abstractNumId w:val="7"/>
  </w:num>
  <w:num w:numId="11" w16cid:durableId="865408877">
    <w:abstractNumId w:val="28"/>
  </w:num>
  <w:num w:numId="12" w16cid:durableId="2139755282">
    <w:abstractNumId w:val="3"/>
  </w:num>
  <w:num w:numId="13" w16cid:durableId="1189641597">
    <w:abstractNumId w:val="31"/>
  </w:num>
  <w:num w:numId="14" w16cid:durableId="456528402">
    <w:abstractNumId w:val="2"/>
  </w:num>
  <w:num w:numId="15" w16cid:durableId="1784885595">
    <w:abstractNumId w:val="18"/>
  </w:num>
  <w:num w:numId="16" w16cid:durableId="1058213128">
    <w:abstractNumId w:val="36"/>
  </w:num>
  <w:num w:numId="17" w16cid:durableId="1170099292">
    <w:abstractNumId w:val="39"/>
  </w:num>
  <w:num w:numId="18" w16cid:durableId="359823566">
    <w:abstractNumId w:val="33"/>
  </w:num>
  <w:num w:numId="19" w16cid:durableId="1473018111">
    <w:abstractNumId w:val="16"/>
  </w:num>
  <w:num w:numId="20" w16cid:durableId="355278759">
    <w:abstractNumId w:val="5"/>
  </w:num>
  <w:num w:numId="21" w16cid:durableId="1607273200">
    <w:abstractNumId w:val="12"/>
  </w:num>
  <w:num w:numId="22" w16cid:durableId="2057075956">
    <w:abstractNumId w:val="19"/>
  </w:num>
  <w:num w:numId="23" w16cid:durableId="2045715138">
    <w:abstractNumId w:val="10"/>
  </w:num>
  <w:num w:numId="24" w16cid:durableId="728385350">
    <w:abstractNumId w:val="17"/>
  </w:num>
  <w:num w:numId="25" w16cid:durableId="979766200">
    <w:abstractNumId w:val="22"/>
  </w:num>
  <w:num w:numId="26" w16cid:durableId="774330300">
    <w:abstractNumId w:val="6"/>
  </w:num>
  <w:num w:numId="27" w16cid:durableId="1951080771">
    <w:abstractNumId w:val="14"/>
  </w:num>
  <w:num w:numId="28" w16cid:durableId="1920671293">
    <w:abstractNumId w:val="0"/>
  </w:num>
  <w:num w:numId="29" w16cid:durableId="662704109">
    <w:abstractNumId w:val="20"/>
  </w:num>
  <w:num w:numId="30" w16cid:durableId="582296221">
    <w:abstractNumId w:val="40"/>
  </w:num>
  <w:num w:numId="31" w16cid:durableId="1037508957">
    <w:abstractNumId w:val="11"/>
  </w:num>
  <w:num w:numId="32" w16cid:durableId="1664892381">
    <w:abstractNumId w:val="32"/>
  </w:num>
  <w:num w:numId="33" w16cid:durableId="904218496">
    <w:abstractNumId w:val="21"/>
  </w:num>
  <w:num w:numId="34" w16cid:durableId="472991978">
    <w:abstractNumId w:val="9"/>
  </w:num>
  <w:num w:numId="35" w16cid:durableId="1882325233">
    <w:abstractNumId w:val="30"/>
  </w:num>
  <w:num w:numId="36" w16cid:durableId="914706112">
    <w:abstractNumId w:val="29"/>
  </w:num>
  <w:num w:numId="37" w16cid:durableId="1713730238">
    <w:abstractNumId w:val="23"/>
  </w:num>
  <w:num w:numId="38" w16cid:durableId="932279494">
    <w:abstractNumId w:val="24"/>
  </w:num>
  <w:num w:numId="39" w16cid:durableId="764157146">
    <w:abstractNumId w:val="4"/>
  </w:num>
  <w:num w:numId="40" w16cid:durableId="1297640543">
    <w:abstractNumId w:val="25"/>
  </w:num>
  <w:num w:numId="41" w16cid:durableId="797526024">
    <w:abstractNumId w:val="38"/>
  </w:num>
  <w:num w:numId="42" w16cid:durableId="703672726">
    <w:abstractNumId w:val="8"/>
  </w:num>
  <w:num w:numId="43" w16cid:durableId="1131704297">
    <w:abstractNumId w:val="1"/>
  </w:num>
  <w:num w:numId="44" w16cid:durableId="11321651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F58"/>
    <w:rsid w:val="00011880"/>
    <w:rsid w:val="000603AA"/>
    <w:rsid w:val="00071D41"/>
    <w:rsid w:val="00076699"/>
    <w:rsid w:val="000C4829"/>
    <w:rsid w:val="000C669F"/>
    <w:rsid w:val="000D0695"/>
    <w:rsid w:val="000D27A9"/>
    <w:rsid w:val="000E1BC8"/>
    <w:rsid w:val="000E6F14"/>
    <w:rsid w:val="000F3206"/>
    <w:rsid w:val="00101FF5"/>
    <w:rsid w:val="00126897"/>
    <w:rsid w:val="0014004B"/>
    <w:rsid w:val="001713B1"/>
    <w:rsid w:val="00177D04"/>
    <w:rsid w:val="001A203F"/>
    <w:rsid w:val="001E2CE1"/>
    <w:rsid w:val="00213E28"/>
    <w:rsid w:val="00217D70"/>
    <w:rsid w:val="002257E9"/>
    <w:rsid w:val="002512F8"/>
    <w:rsid w:val="0025304B"/>
    <w:rsid w:val="00270013"/>
    <w:rsid w:val="002805FB"/>
    <w:rsid w:val="00283579"/>
    <w:rsid w:val="002863C5"/>
    <w:rsid w:val="002A3D96"/>
    <w:rsid w:val="002B651B"/>
    <w:rsid w:val="002C5B0A"/>
    <w:rsid w:val="002E0742"/>
    <w:rsid w:val="002F40B3"/>
    <w:rsid w:val="002F4AB4"/>
    <w:rsid w:val="002F7063"/>
    <w:rsid w:val="0031115C"/>
    <w:rsid w:val="00311510"/>
    <w:rsid w:val="00313C4E"/>
    <w:rsid w:val="003434BE"/>
    <w:rsid w:val="00351081"/>
    <w:rsid w:val="00391944"/>
    <w:rsid w:val="003A30CE"/>
    <w:rsid w:val="003C13C2"/>
    <w:rsid w:val="003C28B3"/>
    <w:rsid w:val="003C4333"/>
    <w:rsid w:val="003E2D72"/>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975B3"/>
    <w:rsid w:val="006B082A"/>
    <w:rsid w:val="006D68D7"/>
    <w:rsid w:val="006F7142"/>
    <w:rsid w:val="00705513"/>
    <w:rsid w:val="007110AE"/>
    <w:rsid w:val="00751282"/>
    <w:rsid w:val="00784E6F"/>
    <w:rsid w:val="00785976"/>
    <w:rsid w:val="00796EBE"/>
    <w:rsid w:val="007D6ED1"/>
    <w:rsid w:val="00811248"/>
    <w:rsid w:val="00835F7B"/>
    <w:rsid w:val="00853B2F"/>
    <w:rsid w:val="00877518"/>
    <w:rsid w:val="008863EC"/>
    <w:rsid w:val="00890469"/>
    <w:rsid w:val="00896EE9"/>
    <w:rsid w:val="008F0733"/>
    <w:rsid w:val="00945C65"/>
    <w:rsid w:val="009553FD"/>
    <w:rsid w:val="0095705C"/>
    <w:rsid w:val="00961EA7"/>
    <w:rsid w:val="009834CC"/>
    <w:rsid w:val="00992124"/>
    <w:rsid w:val="009D0094"/>
    <w:rsid w:val="009E1FC4"/>
    <w:rsid w:val="00A423C0"/>
    <w:rsid w:val="00AA63E2"/>
    <w:rsid w:val="00AC4D25"/>
    <w:rsid w:val="00AD0534"/>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2906"/>
    <w:rsid w:val="00C80A38"/>
    <w:rsid w:val="00C87450"/>
    <w:rsid w:val="00CA0815"/>
    <w:rsid w:val="00CA1212"/>
    <w:rsid w:val="00CA3830"/>
    <w:rsid w:val="00CD4820"/>
    <w:rsid w:val="00CE2858"/>
    <w:rsid w:val="00CE54C6"/>
    <w:rsid w:val="00CF5AB1"/>
    <w:rsid w:val="00D11CB5"/>
    <w:rsid w:val="00D151CB"/>
    <w:rsid w:val="00D2515A"/>
    <w:rsid w:val="00D275CF"/>
    <w:rsid w:val="00D402CC"/>
    <w:rsid w:val="00D537AB"/>
    <w:rsid w:val="00DC7629"/>
    <w:rsid w:val="00DD4FD8"/>
    <w:rsid w:val="00DE02DC"/>
    <w:rsid w:val="00DE050F"/>
    <w:rsid w:val="00DF4FC9"/>
    <w:rsid w:val="00DF7645"/>
    <w:rsid w:val="00E122C8"/>
    <w:rsid w:val="00E53FAE"/>
    <w:rsid w:val="00E6784A"/>
    <w:rsid w:val="00EB5219"/>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1172</Words>
  <Characters>6687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86</cp:revision>
  <dcterms:created xsi:type="dcterms:W3CDTF">2018-03-12T10:09:00Z</dcterms:created>
  <dcterms:modified xsi:type="dcterms:W3CDTF">2024-05-14T15:07:00Z</dcterms:modified>
</cp:coreProperties>
</file>